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D" w:rsidRPr="008F2BFD" w:rsidRDefault="008F2BFD" w:rsidP="008F2BFD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8"/>
          <w:szCs w:val="24"/>
          <w:lang w:eastAsia="hu-HU"/>
        </w:rPr>
        <w:t>19/2014. (IV. 29.) NGM rendelet</w:t>
      </w:r>
    </w:p>
    <w:p w:rsidR="008F2BFD" w:rsidRPr="008F2BFD" w:rsidRDefault="008F2BFD" w:rsidP="008F2BFD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4"/>
          <w:lang w:eastAsia="hu-HU"/>
        </w:rPr>
      </w:pPr>
      <w:bookmarkStart w:id="0" w:name="chp1"/>
      <w:bookmarkEnd w:id="0"/>
      <w:proofErr w:type="gramStart"/>
      <w:r w:rsidRPr="008F2BFD">
        <w:rPr>
          <w:rFonts w:ascii="Book Antiqua" w:eastAsia="Times New Roman" w:hAnsi="Book Antiqua" w:cs="Times New Roman"/>
          <w:sz w:val="28"/>
          <w:szCs w:val="24"/>
          <w:lang w:eastAsia="hu-HU"/>
        </w:rPr>
        <w:t>a</w:t>
      </w:r>
      <w:proofErr w:type="gramEnd"/>
      <w:r w:rsidRPr="008F2BFD">
        <w:rPr>
          <w:rFonts w:ascii="Book Antiqua" w:eastAsia="Times New Roman" w:hAnsi="Book Antiqua" w:cs="Times New Roman"/>
          <w:sz w:val="28"/>
          <w:szCs w:val="24"/>
          <w:lang w:eastAsia="hu-HU"/>
        </w:rPr>
        <w:t xml:space="preserve"> fogyasztó és vállalkozás közötti szerződés keretében eladott dolgokra vonatkozó szavatossági és jótállási igények intézésének eljárási szabályairól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Polgári Törvénykönyvről szóló </w:t>
      </w:r>
      <w:hyperlink r:id="rId4" w:tgtFrame="_blank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2013. évi V. törvény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hatálybalépésével összefüggő átmeneti és felhatalmazó rendelkezésekről szóló </w:t>
      </w:r>
      <w:hyperlink r:id="rId5" w:tgtFrame="_blank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2013. évi CLXXVII. törvény 66. § (4) bekezdésében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foglalt felhatalmazás alapján, az egyes miniszterek, valamint a Miniszterelnökséget vezető államtitkár feladat- és hatásköréről szóló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hyperlink r:id="rId6" w:tgtFrame="_blank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212/2010. (VII. 1.) Korm. rendelet 73. § s)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és </w:t>
      </w:r>
      <w:hyperlink r:id="rId7" w:tgtFrame="_blank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w) pontjában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meghatározott feladatkörömben eljárva, az egyes miniszterek, valamint a Miniszterelnökséget vezető államtitkár feladat- és hatásköréről szóló </w:t>
      </w:r>
      <w:hyperlink r:id="rId8" w:anchor="sid92672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212/2010. (VII. 1.) Korm. rendelet 12. § a) pontjában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meghatározott feladatkörében eljáró közigazgatási és igazságügyi miniszterrel egyetértésben a következőket rendelem el: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1" w:name="para1"/>
      <w:bookmarkEnd w:id="1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1. § (1) E rendeletben foglaltakat kell alkalmazni, ha a Polgári Törvénykönyv szerinti fogyasztó és vállalkozás közötti szerződés esetén az eladott ingó dolog hibája miatt a fogyasztó a Polgári Törvénykönyv szerinti kellékszavatossági vagy termékszavatossági igényt (a továbbiakban: szavatossági igény) vagy jogszabály alapján őt megillető jótállási igényt (a továbbiakban: jótállási igény) érvényesít.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(2) E </w:t>
      </w: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rendelet vállalkozásra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vonatkozó szabályait a Polgári Törvénykönyv szerinti termékszavatossági igény érvényesítése esetén a dolog gyártójára is megfelelően alkalmazni kell.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2" w:name="para2"/>
      <w:bookmarkEnd w:id="2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2. § Fogyasztó és vállalkozás közötti szerződésben a felek megállapodása e rendelet rendelkezéseitől a fogyasztó hátrányára nem térhet el. A fogyasztó hátrányára eltérő szerződési kikötés helyébe e rendelet rendelkezései lépnek.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3" w:name="para3"/>
      <w:bookmarkEnd w:id="3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3. § (1) Szavatossági igénye érvényesítésekor a szerződés megkötését a fogyasztónak kell bizonyítania. Ha a vállalkozás a szerződés megkötését vitatja, köteles felhívni a fogyasztó figyelmét a panasztétel lehetőségére és a panasz intézésének - </w:t>
      </w:r>
      <w:hyperlink r:id="rId9" w:anchor="sid25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a fogyasztóvédelemről szóló törvényben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foglaltakkal összhangban álló - módjára.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(2) A szerződés megkötését bizonyítottnak kell tekinteni, ha az ellenérték megfizetését igazoló bizonylatot - </w:t>
      </w:r>
      <w:hyperlink r:id="rId10" w:anchor="sid25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az általános forgalmi adóról szóló törvény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alapján kibocsátott számlát vagy nyugtát - a fogyasztó bemutatja.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4" w:name="para4"/>
      <w:bookmarkEnd w:id="4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4. § (1) A vállalkozás a fogyasztó nála bejelentett szavatossági vagy jótállási igényéről jegyzőkönyvet köteles felvenni,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amelyben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rögzíti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a fogyasztó nevét, címét, valamint nyilatkozatát arról, hogy hozzájárul a jegyzőkönyvben rögzített adatainak a rendeletben meghatározottak szerinti kezeléséhez,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b) a fogyasztó és vállalkozás közötti szerződés keretében eladott ingó dolog megnevezését, vételárát,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c) a szerződés vállalkozás általi teljesítésének időpontját,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d) a hiba bejelentésének időpontját,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e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a hiba leírását,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f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szavatossági vagy jótállási igénye alapján a fogyasztó által érvényesíteni kívánt jogot, továbbá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>g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az </w:t>
      </w:r>
      <w:hyperlink r:id="rId11" w:anchor="sid1049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(5) bekezdés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szerinti eset kivételével a szavatossági vagy jótállási igény rendezésének módját vagy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az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igény, illetve az </w:t>
      </w:r>
      <w:proofErr w:type="spell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az</w:t>
      </w:r>
      <w:proofErr w:type="spell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alapján érvényesíteni kívánt jog elutasításának indokát.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(2) Ha a vállalkozás szavatossági vagy jótállási kötelezettségének a fogyasztó által érvényesíteni kívánt jogtól eltérő módon tesz eleget, ennek indokát a jegyzőkönyvben meg kell adni.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(3) A jegyzőkönyvnek tájékoztatást kell tartalmaznia arról, hogy fogyasztói jogvita esetén a fogyasztó a megyei (fővárosi) kereskedelmi és iparkamarák mellett működő békéltető testület eljárását is kezdeményezheti.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(4) A jegyzőkönyv másolatát haladéktalanul, igazolható módon a fogyasztó rendelkezésére kell bocsátani.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(5) Ha a vállalkozás a fogyasztó szavatossági vagy jótállási igényének teljesíthetőségéről annak bejelentésekor nem tud nyilatkozni, álláspontjáról - az igény elutasítása esetén az elutasítás indokáról és a békéltető testülethez fordulás lehetőségéről is - öt munkanapon belül, igazolható módon köteles értesíteni a fogyasztót.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(6) A vállalkozás a fogyasztó szavatossági vagy jótállási igényéről felvett jegyzőkönyvet az annak felvételétől számított három évig köteles megőrizni, és azt az ellenőrző hatóság kérésére bemutatni.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(7) A szavatossági vagy jótállási igény bejelentése nem minősül </w:t>
      </w:r>
      <w:hyperlink r:id="rId12" w:tgtFrame="_blank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a fogyasztóvédelemről szóló törvény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szerinti panasznak.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5" w:name="para5"/>
      <w:bookmarkEnd w:id="5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5. § A vállalkozásnak törekednie kell arra, hogy a kijavítást vagy kicserélést legfeljebb tizenöt napon belül elvégezze.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6" w:name="para6"/>
      <w:bookmarkEnd w:id="6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6. § (1) Kijavításra vagy - a </w:t>
      </w:r>
      <w:hyperlink r:id="rId13" w:anchor="sid1049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4. § (5) bekezdése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szerinti esetben - a szavatossági vagy jótállási igény teljesíthetőségének vizsgálata érdekében az ingó dolgot elismervény ellenében kell átvenni, amelyen fel kell tüntetni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a fogyasztó nevét és címét,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b) a dolog azonosításához szükséges adatokat,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c) a dolog átvételének időpontját, továbbá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d) azt az időpontot, amikor a fogyasztó a kijavított dolgot átveheti.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(2) Az </w:t>
      </w:r>
      <w:hyperlink r:id="rId14" w:anchor="sid12544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(1) bekezdésben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előírtak a szavatossági vagy jótállási igényről felvett jegyzőkönyvben is teljesíthetők.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7" w:name="para7"/>
      <w:bookmarkEnd w:id="7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7. § (1) Ha a fogyasztó kijavítás iránti jótállási igényét közvetlenül a jótállási jegyen feltüntetett javítószolgálatnál kívánja érvényesíteni, a javítószolgálat köteles a vállalkozást haladéktalanul értesíteni a jótállási igény bejelentéséről.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(2) A javítószolgálat a kijavítást az </w:t>
      </w:r>
      <w:hyperlink r:id="rId15" w:anchor="sid12032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5. §</w:t>
        </w:r>
        <w:proofErr w:type="spellStart"/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-ban</w:t>
      </w:r>
      <w:proofErr w:type="spell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előírtak betartásával köteles elvégezni.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(3) A javítószolgálat a kijavítás iránti jótállási igény intézésekor a </w:t>
      </w:r>
      <w:hyperlink r:id="rId16" w:anchor="sid12544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6. § (1) bekezdésében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foglaltak megfelelő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alkalmazásával</w:t>
      </w:r>
      <w:proofErr w:type="gram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köteles eljárni.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8" w:name="para8"/>
      <w:bookmarkEnd w:id="8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8. § (1) A </w:t>
      </w:r>
      <w:hyperlink r:id="rId17" w:anchor="sid409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4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-</w:t>
      </w:r>
      <w:hyperlink r:id="rId18" w:anchor="sid12544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6. §</w:t>
        </w:r>
        <w:proofErr w:type="spellStart"/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>-ban</w:t>
      </w:r>
      <w:proofErr w:type="spellEnd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, valamint a </w:t>
      </w:r>
      <w:hyperlink r:id="rId19" w:anchor="sid16640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7. § (2)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és </w:t>
      </w:r>
      <w:hyperlink r:id="rId20" w:anchor="sid17152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(3) bekezdésében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foglalt rendelkezések megsértése esetén a fogyasztóvédelmi hatóság jár el </w:t>
      </w:r>
      <w:hyperlink r:id="rId21" w:anchor="sid25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a fogyasztóvédelemről szóló törvényben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meghatározott szabályok szerint.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(2) Az </w:t>
      </w:r>
      <w:hyperlink r:id="rId22" w:anchor="sid17920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(1) bekezdésben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megjelölt rendelkezések </w:t>
      </w:r>
      <w:hyperlink r:id="rId23" w:anchor="sid25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a fogyasztóvédelemről szóló törvény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alkalmazásában fogyasztóvédelmi rendelkezések.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9" w:name="para9"/>
      <w:bookmarkEnd w:id="9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9. § Ez a rendelet a kihirdetését követő tizenötödik napon lép hatályba.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10" w:name="para10"/>
      <w:bookmarkEnd w:id="10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10. § E rendelet rendelkezéseit csak a hatálybalépését követően kötött szerződésekre kell alkalmazni. </w:t>
      </w:r>
    </w:p>
    <w:p w:rsidR="008F2BFD" w:rsidRPr="008F2BFD" w:rsidRDefault="008F2BFD" w:rsidP="008F2BF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bookmarkStart w:id="11" w:name="para11"/>
      <w:bookmarkEnd w:id="11"/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11. § Hatályát veszti a fogyasztói szerződés keretében érvényesített szavatossági és jótállási igények intézéséről szóló </w:t>
      </w:r>
      <w:hyperlink r:id="rId24" w:anchor="sid256" w:history="1">
        <w:r w:rsidRPr="008F2BF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u-HU"/>
          </w:rPr>
          <w:t>49/2003. (VII. 30.) GKM rendelet</w:t>
        </w:r>
      </w:hyperlink>
      <w:r w:rsidRPr="008F2BF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. </w:t>
      </w:r>
    </w:p>
    <w:p w:rsidR="006B5269" w:rsidRPr="008F2BFD" w:rsidRDefault="006B5269">
      <w:pPr>
        <w:rPr>
          <w:rFonts w:ascii="Book Antiqua" w:hAnsi="Book Antiqua"/>
        </w:rPr>
      </w:pPr>
    </w:p>
    <w:sectPr w:rsidR="006B5269" w:rsidRPr="008F2BFD" w:rsidSect="006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BFD"/>
    <w:rsid w:val="00070946"/>
    <w:rsid w:val="00115FF4"/>
    <w:rsid w:val="001C59B4"/>
    <w:rsid w:val="00231EB0"/>
    <w:rsid w:val="00237686"/>
    <w:rsid w:val="00327914"/>
    <w:rsid w:val="00365FE2"/>
    <w:rsid w:val="00367A3E"/>
    <w:rsid w:val="0037442C"/>
    <w:rsid w:val="00452FD0"/>
    <w:rsid w:val="00563AEC"/>
    <w:rsid w:val="005D6C00"/>
    <w:rsid w:val="005E76F7"/>
    <w:rsid w:val="005F1867"/>
    <w:rsid w:val="005F33F4"/>
    <w:rsid w:val="00605615"/>
    <w:rsid w:val="006B5269"/>
    <w:rsid w:val="006D56F6"/>
    <w:rsid w:val="007766B7"/>
    <w:rsid w:val="00777A3A"/>
    <w:rsid w:val="008D7116"/>
    <w:rsid w:val="008F2BFD"/>
    <w:rsid w:val="00A23BEA"/>
    <w:rsid w:val="00A36861"/>
    <w:rsid w:val="00A52A95"/>
    <w:rsid w:val="00A90BFD"/>
    <w:rsid w:val="00B849D7"/>
    <w:rsid w:val="00C506D1"/>
    <w:rsid w:val="00CB381F"/>
    <w:rsid w:val="00CF6378"/>
    <w:rsid w:val="00DB6FAB"/>
    <w:rsid w:val="00DF2946"/>
    <w:rsid w:val="00E10716"/>
    <w:rsid w:val="00E328D2"/>
    <w:rsid w:val="00E36F99"/>
    <w:rsid w:val="00E546BE"/>
    <w:rsid w:val="00EB77A1"/>
    <w:rsid w:val="00EE6854"/>
    <w:rsid w:val="00F04F65"/>
    <w:rsid w:val="00F7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2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awnum">
    <w:name w:val="lawnum"/>
    <w:basedOn w:val="Bekezdsalapbettpusa"/>
    <w:rsid w:val="008F2BFD"/>
  </w:style>
  <w:style w:type="character" w:customStyle="1" w:styleId="desc">
    <w:name w:val="desc"/>
    <w:basedOn w:val="Bekezdsalapbettpusa"/>
    <w:rsid w:val="008F2BFD"/>
  </w:style>
  <w:style w:type="character" w:styleId="Hiperhivatkozs">
    <w:name w:val="Hyperlink"/>
    <w:basedOn w:val="Bekezdsalapbettpusa"/>
    <w:uiPriority w:val="99"/>
    <w:semiHidden/>
    <w:unhideWhenUsed/>
    <w:rsid w:val="008F2BFD"/>
    <w:rPr>
      <w:color w:val="0000FF"/>
      <w:u w:val="single"/>
    </w:rPr>
  </w:style>
  <w:style w:type="character" w:customStyle="1" w:styleId="para">
    <w:name w:val="para"/>
    <w:basedOn w:val="Bekezdsalapbettpusa"/>
    <w:rsid w:val="008F2BFD"/>
  </w:style>
  <w:style w:type="character" w:customStyle="1" w:styleId="section">
    <w:name w:val="section"/>
    <w:basedOn w:val="Bekezdsalapbettpusa"/>
    <w:rsid w:val="008F2BFD"/>
  </w:style>
  <w:style w:type="character" w:customStyle="1" w:styleId="point">
    <w:name w:val="point"/>
    <w:basedOn w:val="Bekezdsalapbettpusa"/>
    <w:rsid w:val="008F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optijus/lawtext/143417" TargetMode="External"/><Relationship Id="rId13" Type="http://schemas.openxmlformats.org/officeDocument/2006/relationships/hyperlink" Target="http://www.opten.hu/optijus/lawtext/253549" TargetMode="External"/><Relationship Id="rId18" Type="http://schemas.openxmlformats.org/officeDocument/2006/relationships/hyperlink" Target="http://www.opten.hu/optijus/lawtext/25354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opten.hu/optijus/lawtext/58052" TargetMode="External"/><Relationship Id="rId7" Type="http://schemas.openxmlformats.org/officeDocument/2006/relationships/hyperlink" Target="http://www.opten.hu/optijus/lawtext/143417/tvalid/2014.5.14./tsid/937728" TargetMode="External"/><Relationship Id="rId12" Type="http://schemas.openxmlformats.org/officeDocument/2006/relationships/hyperlink" Target="http://www.opten.hu/optijus/lawtext/58052/tvalid/2014.5.14./tsid/256" TargetMode="External"/><Relationship Id="rId17" Type="http://schemas.openxmlformats.org/officeDocument/2006/relationships/hyperlink" Target="http://www.opten.hu/optijus/lawtext/25354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pten.hu/optijus/lawtext/253549" TargetMode="External"/><Relationship Id="rId20" Type="http://schemas.openxmlformats.org/officeDocument/2006/relationships/hyperlink" Target="http://www.opten.hu/optijus/lawtext/2535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ten.hu/optijus/lawtext/143417/tvalid/2014.5.14./tsid/935680" TargetMode="External"/><Relationship Id="rId11" Type="http://schemas.openxmlformats.org/officeDocument/2006/relationships/hyperlink" Target="http://www.opten.hu/optijus/lawtext/253549" TargetMode="External"/><Relationship Id="rId24" Type="http://schemas.openxmlformats.org/officeDocument/2006/relationships/hyperlink" Target="http://www.opten.hu/optijus/lawtext/11275" TargetMode="External"/><Relationship Id="rId5" Type="http://schemas.openxmlformats.org/officeDocument/2006/relationships/hyperlink" Target="http://www.opten.hu/optijus/lawtext/239457/tvalid/2014.5.14./tsid/96000" TargetMode="External"/><Relationship Id="rId15" Type="http://schemas.openxmlformats.org/officeDocument/2006/relationships/hyperlink" Target="http://www.opten.hu/optijus/lawtext/253549" TargetMode="External"/><Relationship Id="rId23" Type="http://schemas.openxmlformats.org/officeDocument/2006/relationships/hyperlink" Target="http://www.opten.hu/optijus/lawtext/58052" TargetMode="External"/><Relationship Id="rId10" Type="http://schemas.openxmlformats.org/officeDocument/2006/relationships/hyperlink" Target="http://www.opten.hu/optijus/lawtext/57250" TargetMode="External"/><Relationship Id="rId19" Type="http://schemas.openxmlformats.org/officeDocument/2006/relationships/hyperlink" Target="http://www.opten.hu/optijus/lawtext/253549" TargetMode="External"/><Relationship Id="rId4" Type="http://schemas.openxmlformats.org/officeDocument/2006/relationships/hyperlink" Target="http://www.opten.hu/optijus/lawtext/219454/tvalid/2014.5.14./tsid/256" TargetMode="External"/><Relationship Id="rId9" Type="http://schemas.openxmlformats.org/officeDocument/2006/relationships/hyperlink" Target="http://www.opten.hu/optijus/lawtext/58052" TargetMode="External"/><Relationship Id="rId14" Type="http://schemas.openxmlformats.org/officeDocument/2006/relationships/hyperlink" Target="http://www.opten.hu/optijus/lawtext/253549" TargetMode="External"/><Relationship Id="rId22" Type="http://schemas.openxmlformats.org/officeDocument/2006/relationships/hyperlink" Target="http://www.opten.hu/optijus/lawtext/25354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Gergő</cp:lastModifiedBy>
  <cp:revision>1</cp:revision>
  <dcterms:created xsi:type="dcterms:W3CDTF">2015-08-13T12:59:00Z</dcterms:created>
  <dcterms:modified xsi:type="dcterms:W3CDTF">2015-08-13T13:00:00Z</dcterms:modified>
</cp:coreProperties>
</file>